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E01" w:rsidRPr="002C1A32" w:rsidRDefault="002C1A32" w:rsidP="002C1A32">
      <w:pPr>
        <w:jc w:val="center"/>
        <w:rPr>
          <w:sz w:val="28"/>
          <w:szCs w:val="28"/>
        </w:rPr>
      </w:pPr>
      <w:r w:rsidRPr="002C1A32">
        <w:rPr>
          <w:sz w:val="28"/>
          <w:szCs w:val="28"/>
        </w:rPr>
        <w:t>Clinical and Tra</w:t>
      </w:r>
      <w:r>
        <w:rPr>
          <w:sz w:val="28"/>
          <w:szCs w:val="28"/>
        </w:rPr>
        <w:t>nslational Research Unit (CTRU)</w:t>
      </w:r>
      <w:r w:rsidR="00730A99" w:rsidRPr="002C1A32">
        <w:rPr>
          <w:sz w:val="28"/>
          <w:szCs w:val="28"/>
        </w:rPr>
        <w:t xml:space="preserve"> Facility Resource List</w:t>
      </w:r>
    </w:p>
    <w:p w:rsidR="000160B9" w:rsidRDefault="004A6A76" w:rsidP="00A953E3">
      <w:r>
        <w:t xml:space="preserve">The University of Georgia and </w:t>
      </w:r>
      <w:r w:rsidR="009F52B6">
        <w:t>Augusta</w:t>
      </w:r>
      <w:r>
        <w:t xml:space="preserve"> University/UGA Medical Partnership </w:t>
      </w:r>
      <w:r w:rsidR="00A953E3">
        <w:t xml:space="preserve">Clinical and Translational Research Unit (CTRU) </w:t>
      </w:r>
      <w:r>
        <w:t xml:space="preserve">is </w:t>
      </w:r>
      <w:r w:rsidR="00857ACB">
        <w:t>located on the Health Sciences C</w:t>
      </w:r>
      <w:r>
        <w:t>ampus in Athens, G</w:t>
      </w:r>
      <w:r w:rsidR="00260A8E">
        <w:t>eorgia</w:t>
      </w:r>
      <w:r>
        <w:t xml:space="preserve">.  The CTRU </w:t>
      </w:r>
      <w:r w:rsidR="00260A8E">
        <w:t xml:space="preserve">is designed to </w:t>
      </w:r>
      <w:r>
        <w:t>support f</w:t>
      </w:r>
      <w:r w:rsidR="00A42865">
        <w:t>aculty from across the u</w:t>
      </w:r>
      <w:r w:rsidR="00317C17">
        <w:t>niversity in</w:t>
      </w:r>
      <w:r w:rsidR="00A953E3">
        <w:t xml:space="preserve"> conduct</w:t>
      </w:r>
      <w:r w:rsidR="00317C17">
        <w:t>ing</w:t>
      </w:r>
      <w:r w:rsidR="00A953E3">
        <w:t xml:space="preserve"> clinical and translational research</w:t>
      </w:r>
      <w:r w:rsidR="00EF1948">
        <w:t xml:space="preserve"> </w:t>
      </w:r>
      <w:r w:rsidR="009C1B87" w:rsidRPr="009C1B87">
        <w:t>that advance our understanding and treatment of important diseases in Georgia and throughout the country.</w:t>
      </w:r>
      <w:r w:rsidR="00A953E3">
        <w:t xml:space="preserve"> </w:t>
      </w:r>
      <w:r w:rsidR="00A42865">
        <w:t xml:space="preserve">The </w:t>
      </w:r>
      <w:r w:rsidR="009C1B87">
        <w:t xml:space="preserve">CTRU provides key research </w:t>
      </w:r>
      <w:r w:rsidR="005F0C1F">
        <w:t xml:space="preserve">and nursing </w:t>
      </w:r>
      <w:r w:rsidR="009C1B87">
        <w:t>personnel and dedicated s</w:t>
      </w:r>
      <w:r w:rsidR="00971E5D">
        <w:t>pace to conduct clinical trials, as well as</w:t>
      </w:r>
      <w:r w:rsidR="00260A8E">
        <w:t xml:space="preserve"> </w:t>
      </w:r>
      <w:r w:rsidR="009C1B87">
        <w:t xml:space="preserve">access </w:t>
      </w:r>
      <w:r w:rsidR="00260A8E">
        <w:t>to research c</w:t>
      </w:r>
      <w:r w:rsidR="009C1B87">
        <w:t xml:space="preserve">ore facilities </w:t>
      </w:r>
      <w:r w:rsidR="00260A8E">
        <w:t xml:space="preserve">at UGA (e.g., </w:t>
      </w:r>
      <w:proofErr w:type="spellStart"/>
      <w:r w:rsidR="00260A8E">
        <w:t>Bioimaging</w:t>
      </w:r>
      <w:proofErr w:type="spellEnd"/>
      <w:r w:rsidR="00260A8E">
        <w:t xml:space="preserve"> Center, Georgia Genomics Facility) and at Emory University (e.g., Biomarker Core, Proteomics Core)</w:t>
      </w:r>
      <w:r w:rsidR="000160B9">
        <w:t>.</w:t>
      </w:r>
    </w:p>
    <w:p w:rsidR="00971E5D" w:rsidRDefault="00971E5D" w:rsidP="00A953E3">
      <w:r>
        <w:t>CTRU resources and services include:</w:t>
      </w:r>
    </w:p>
    <w:p w:rsidR="00DB07E9" w:rsidRDefault="009C1B87" w:rsidP="00A953E3">
      <w:r w:rsidRPr="00DB07E9">
        <w:rPr>
          <w:b/>
        </w:rPr>
        <w:t xml:space="preserve">Clinical </w:t>
      </w:r>
      <w:r w:rsidR="00015620">
        <w:rPr>
          <w:b/>
        </w:rPr>
        <w:t xml:space="preserve">Research </w:t>
      </w:r>
      <w:r w:rsidR="00260A8E" w:rsidRPr="00DB07E9">
        <w:rPr>
          <w:b/>
        </w:rPr>
        <w:t xml:space="preserve">Support </w:t>
      </w:r>
      <w:r w:rsidRPr="00DB07E9">
        <w:rPr>
          <w:b/>
        </w:rPr>
        <w:t>Services</w:t>
      </w:r>
      <w:r>
        <w:t xml:space="preserve"> </w:t>
      </w:r>
      <w:r w:rsidR="002F1608">
        <w:t xml:space="preserve">provide investigators </w:t>
      </w:r>
      <w:r w:rsidR="00DB07E9" w:rsidRPr="00DB07E9">
        <w:t xml:space="preserve">with experienced clinical research staff and space </w:t>
      </w:r>
      <w:r w:rsidR="00DB07E9">
        <w:t>(3,600 sq.</w:t>
      </w:r>
      <w:r w:rsidR="00B95098">
        <w:t xml:space="preserve"> </w:t>
      </w:r>
      <w:r w:rsidR="00DB07E9">
        <w:t>ft</w:t>
      </w:r>
      <w:r w:rsidR="00B95098">
        <w:t>.</w:t>
      </w:r>
      <w:r w:rsidR="00DB07E9">
        <w:t xml:space="preserve">) </w:t>
      </w:r>
      <w:r w:rsidR="00DB07E9" w:rsidRPr="00DB07E9">
        <w:t xml:space="preserve">for research with human subjects. </w:t>
      </w:r>
      <w:r w:rsidR="00DB07E9">
        <w:t xml:space="preserve">The CTRU has three </w:t>
      </w:r>
      <w:r w:rsidR="00783E37">
        <w:t>outpatient research rooms,</w:t>
      </w:r>
      <w:r w:rsidR="00DB07E9">
        <w:t xml:space="preserve"> </w:t>
      </w:r>
      <w:r w:rsidR="00783E37">
        <w:t xml:space="preserve">phlebotomy/vitals </w:t>
      </w:r>
      <w:r w:rsidR="00DB07E9">
        <w:t xml:space="preserve">area, </w:t>
      </w:r>
      <w:r w:rsidR="007F12E1">
        <w:t xml:space="preserve">private </w:t>
      </w:r>
      <w:r w:rsidR="002D01B3">
        <w:t>rooms with computers</w:t>
      </w:r>
      <w:r w:rsidR="007F12E1">
        <w:t xml:space="preserve"> for consenting study subjects</w:t>
      </w:r>
      <w:r w:rsidR="002D01B3">
        <w:t xml:space="preserve"> and completing online questionnaires</w:t>
      </w:r>
      <w:r w:rsidR="007F12E1">
        <w:t xml:space="preserve">, </w:t>
      </w:r>
      <w:r w:rsidR="00DB07E9">
        <w:t xml:space="preserve">and office space for investigators to utilize while they are in the unit. In addition, a </w:t>
      </w:r>
      <w:r w:rsidR="007F12E1">
        <w:t xml:space="preserve">large </w:t>
      </w:r>
      <w:r w:rsidR="00DB07E9">
        <w:t xml:space="preserve">conference room </w:t>
      </w:r>
      <w:r w:rsidR="007F12E1">
        <w:t>with v</w:t>
      </w:r>
      <w:r w:rsidR="00DB07E9">
        <w:t xml:space="preserve">ideo conferencing capabilities </w:t>
      </w:r>
      <w:r w:rsidR="007F12E1">
        <w:t xml:space="preserve">is available </w:t>
      </w:r>
      <w:r w:rsidR="00DB07E9">
        <w:t xml:space="preserve">for research team or </w:t>
      </w:r>
      <w:r w:rsidR="007F12E1">
        <w:t xml:space="preserve">group </w:t>
      </w:r>
      <w:r w:rsidR="00DB07E9">
        <w:t xml:space="preserve">study subject </w:t>
      </w:r>
      <w:r w:rsidR="007F12E1">
        <w:t>meetings.</w:t>
      </w:r>
      <w:r w:rsidR="00DB07E9">
        <w:t xml:space="preserve"> </w:t>
      </w:r>
      <w:r w:rsidR="00D97405" w:rsidRPr="00F17B56">
        <w:t>Research staff may provide support services outside of the CTRU throughout the university, local community and state.</w:t>
      </w:r>
      <w:r w:rsidR="00D97405">
        <w:t xml:space="preserve"> </w:t>
      </w:r>
      <w:r w:rsidR="00D97405" w:rsidRPr="00F17B56">
        <w:t xml:space="preserve">The unit supports </w:t>
      </w:r>
      <w:proofErr w:type="spellStart"/>
      <w:r w:rsidR="00D97405" w:rsidRPr="00F17B56">
        <w:t>REDCap</w:t>
      </w:r>
      <w:proofErr w:type="spellEnd"/>
      <w:r w:rsidR="00D97405" w:rsidRPr="00F17B56">
        <w:t xml:space="preserve"> for research data capture and management.</w:t>
      </w:r>
      <w:r w:rsidR="00D97405">
        <w:t xml:space="preserve"> </w:t>
      </w:r>
    </w:p>
    <w:p w:rsidR="000160B9" w:rsidRDefault="000160B9" w:rsidP="000160B9">
      <w:r w:rsidRPr="00D9615D">
        <w:t xml:space="preserve">Study subject </w:t>
      </w:r>
      <w:r w:rsidRPr="00D9615D">
        <w:rPr>
          <w:b/>
        </w:rPr>
        <w:t>Recruitment and Screening Services</w:t>
      </w:r>
      <w:r w:rsidRPr="00D9615D">
        <w:t xml:space="preserve"> provide trained </w:t>
      </w:r>
      <w:r>
        <w:t xml:space="preserve">personnel </w:t>
      </w:r>
      <w:r w:rsidRPr="00D9615D">
        <w:t>to complete telephone and email screenings of individuals to determine basic study eligibility and invitation to sch</w:t>
      </w:r>
      <w:r w:rsidR="00C40863">
        <w:t xml:space="preserve">edule the initial study visit. </w:t>
      </w:r>
      <w:r w:rsidRPr="00D9615D">
        <w:t>Investigators schedule and manage CTRU study visits through</w:t>
      </w:r>
      <w:r>
        <w:t xml:space="preserve"> an electronic patient management system (</w:t>
      </w:r>
      <w:proofErr w:type="spellStart"/>
      <w:r w:rsidRPr="00D9615D">
        <w:t>GaCTSA</w:t>
      </w:r>
      <w:proofErr w:type="spellEnd"/>
      <w:r w:rsidRPr="00D9615D">
        <w:t xml:space="preserve"> CR-Assist</w:t>
      </w:r>
      <w:r>
        <w:t>)</w:t>
      </w:r>
      <w:r w:rsidRPr="00D9615D">
        <w:t>.</w:t>
      </w:r>
    </w:p>
    <w:p w:rsidR="006C0F41" w:rsidRDefault="006C0F41" w:rsidP="00A953E3">
      <w:r w:rsidRPr="006C0F41">
        <w:t xml:space="preserve">The </w:t>
      </w:r>
      <w:r w:rsidR="00B866BA">
        <w:rPr>
          <w:b/>
        </w:rPr>
        <w:t>Core L</w:t>
      </w:r>
      <w:r w:rsidRPr="006C0F41">
        <w:rPr>
          <w:b/>
        </w:rPr>
        <w:t>aboratory</w:t>
      </w:r>
      <w:r w:rsidRPr="006C0F41">
        <w:t xml:space="preserve"> is fully equipped to process and store blood and other study samples. After processing, study samples may be stored short or longer-term, and sent to investigator, core or commercial facilities for analytical and genetic analyses. </w:t>
      </w:r>
      <w:r w:rsidR="000160B9" w:rsidRPr="00D9615D">
        <w:t xml:space="preserve">Routine biomedical assays are completed at Athens Regional Medical Center. The laboratory is equipped with </w:t>
      </w:r>
      <w:r w:rsidR="000160B9">
        <w:t xml:space="preserve">a </w:t>
      </w:r>
      <w:r w:rsidR="000160B9" w:rsidRPr="00D9615D">
        <w:t>refrigerated centrifuge</w:t>
      </w:r>
      <w:r w:rsidR="000160B9">
        <w:t xml:space="preserve"> and </w:t>
      </w:r>
      <w:proofErr w:type="spellStart"/>
      <w:r w:rsidR="000160B9" w:rsidRPr="00D9615D">
        <w:t>microcentrifuge</w:t>
      </w:r>
      <w:proofErr w:type="spellEnd"/>
      <w:r w:rsidR="000160B9" w:rsidRPr="00D9615D">
        <w:t xml:space="preserve">, </w:t>
      </w:r>
      <w:r w:rsidR="000160B9">
        <w:t>lab refrigerator</w:t>
      </w:r>
      <w:r w:rsidR="000160B9" w:rsidRPr="00D9615D">
        <w:t xml:space="preserve">, freezers (-20° C &amp; -80° C), and analytical balances. The unit employs the </w:t>
      </w:r>
      <w:proofErr w:type="spellStart"/>
      <w:r w:rsidR="000160B9" w:rsidRPr="00D9615D">
        <w:t>GaCTSA</w:t>
      </w:r>
      <w:proofErr w:type="spellEnd"/>
      <w:r w:rsidR="000160B9" w:rsidRPr="00D9615D">
        <w:t>-wide state-of-the art Nautilus Laboratory Information Management System (LIMS) for de-identified sample storage and management</w:t>
      </w:r>
      <w:r w:rsidR="000160B9" w:rsidRPr="006C0F41">
        <w:t>.</w:t>
      </w:r>
    </w:p>
    <w:p w:rsidR="00643029" w:rsidRDefault="007F12E1" w:rsidP="00A953E3">
      <w:r>
        <w:t xml:space="preserve">For </w:t>
      </w:r>
      <w:r w:rsidR="00DB07E9" w:rsidRPr="00DB07E9">
        <w:rPr>
          <w:b/>
        </w:rPr>
        <w:t>Exercise Physiology</w:t>
      </w:r>
      <w:r w:rsidR="00DB07E9">
        <w:t xml:space="preserve"> </w:t>
      </w:r>
      <w:r>
        <w:t>studies the unit is equipped with four exercise treadmills</w:t>
      </w:r>
      <w:r w:rsidR="00643029">
        <w:t xml:space="preserve"> and a </w:t>
      </w:r>
      <w:proofErr w:type="spellStart"/>
      <w:r w:rsidR="00643029" w:rsidRPr="00643029">
        <w:t>stairclimber</w:t>
      </w:r>
      <w:proofErr w:type="spellEnd"/>
      <w:r w:rsidR="00643029">
        <w:t>. Heart</w:t>
      </w:r>
      <w:r w:rsidR="00643029" w:rsidRPr="00643029">
        <w:t xml:space="preserve"> rate monitors are available for </w:t>
      </w:r>
      <w:r w:rsidR="00BE73FD">
        <w:t>study subjects</w:t>
      </w:r>
      <w:r w:rsidR="00643029" w:rsidRPr="00643029">
        <w:t xml:space="preserve"> </w:t>
      </w:r>
      <w:r w:rsidR="00D54CD8">
        <w:t>to wear during exercise studies.</w:t>
      </w:r>
      <w:r w:rsidR="00643029" w:rsidRPr="00643029">
        <w:t xml:space="preserve"> </w:t>
      </w:r>
      <w:r w:rsidR="00A9552C">
        <w:t>A metabolic measurement system (</w:t>
      </w:r>
      <w:proofErr w:type="spellStart"/>
      <w:r w:rsidR="009B1C54">
        <w:t>Parvo</w:t>
      </w:r>
      <w:r w:rsidR="00A9552C" w:rsidRPr="00643029">
        <w:t>Medics</w:t>
      </w:r>
      <w:proofErr w:type="spellEnd"/>
      <w:r w:rsidR="00A9552C" w:rsidRPr="00643029">
        <w:t xml:space="preserve"> </w:t>
      </w:r>
      <w:proofErr w:type="spellStart"/>
      <w:r w:rsidR="00A9552C" w:rsidRPr="00643029">
        <w:t>TrueOne</w:t>
      </w:r>
      <w:proofErr w:type="spellEnd"/>
      <w:r w:rsidR="00A9552C" w:rsidRPr="00643029">
        <w:t xml:space="preserve"> 2400</w:t>
      </w:r>
      <w:r w:rsidR="00A9552C">
        <w:t>) is available for c</w:t>
      </w:r>
      <w:r w:rsidR="00643029" w:rsidRPr="00643029">
        <w:t>ardiopulmonary stress testing, indirect calorimetry, and maximal O2 consumption measurement</w:t>
      </w:r>
      <w:r w:rsidR="00A9552C">
        <w:t>s.</w:t>
      </w:r>
      <w:r w:rsidR="009B1C54">
        <w:t xml:space="preserve"> </w:t>
      </w:r>
    </w:p>
    <w:p w:rsidR="00DB07E9" w:rsidRDefault="00E23C11" w:rsidP="00A953E3">
      <w:r>
        <w:t xml:space="preserve">The </w:t>
      </w:r>
      <w:r w:rsidR="00DB07E9" w:rsidRPr="00DB07E9">
        <w:rPr>
          <w:b/>
        </w:rPr>
        <w:t>Metabolic Kitchen</w:t>
      </w:r>
      <w:r w:rsidR="00DB07E9">
        <w:t xml:space="preserve"> </w:t>
      </w:r>
      <w:r>
        <w:t xml:space="preserve">supports study meal preparation/controlled study diets and includes a full-size refrigerator and freezer, </w:t>
      </w:r>
      <w:r w:rsidR="000160B9">
        <w:t xml:space="preserve">two </w:t>
      </w:r>
      <w:r>
        <w:t xml:space="preserve">stainless steel prep tables, small appliances and tools for food preparation (e.g., microwave, digital food scale, blender, etc.), along with </w:t>
      </w:r>
      <w:r w:rsidR="00A9552C">
        <w:t xml:space="preserve">a </w:t>
      </w:r>
      <w:r>
        <w:t xml:space="preserve">storage area for food.  </w:t>
      </w:r>
      <w:r w:rsidR="00DB07E9">
        <w:t xml:space="preserve"> </w:t>
      </w:r>
    </w:p>
    <w:p w:rsidR="004A3BD0" w:rsidRDefault="004A3BD0" w:rsidP="00A953E3">
      <w:r>
        <w:t xml:space="preserve">For </w:t>
      </w:r>
      <w:r w:rsidRPr="005049A7">
        <w:rPr>
          <w:b/>
        </w:rPr>
        <w:t>Bone &amp; Body Composition</w:t>
      </w:r>
      <w:r>
        <w:t xml:space="preserve"> evaluation the unit provides anthropometric measurements of b</w:t>
      </w:r>
      <w:r w:rsidRPr="005049A7">
        <w:t>one density, bone geometry and body composition</w:t>
      </w:r>
      <w:r>
        <w:t xml:space="preserve"> utilizing d</w:t>
      </w:r>
      <w:r w:rsidRPr="006C2F42">
        <w:t>ual energy X-ray absorptiometry (DEXA)</w:t>
      </w:r>
      <w:r>
        <w:t xml:space="preserve"> (Horizon 2000), </w:t>
      </w:r>
      <w:r w:rsidRPr="00183821">
        <w:t>peripheral quantitative computed tomography (</w:t>
      </w:r>
      <w:proofErr w:type="spellStart"/>
      <w:r w:rsidRPr="00183821">
        <w:t>Stratec</w:t>
      </w:r>
      <w:proofErr w:type="spellEnd"/>
      <w:r w:rsidRPr="00183821">
        <w:t xml:space="preserve"> </w:t>
      </w:r>
      <w:r>
        <w:t>XCT</w:t>
      </w:r>
      <w:r w:rsidRPr="00183821">
        <w:t xml:space="preserve"> </w:t>
      </w:r>
      <w:r>
        <w:t xml:space="preserve">3000 </w:t>
      </w:r>
      <w:r w:rsidRPr="00183821">
        <w:t>Scanner</w:t>
      </w:r>
      <w:r>
        <w:t>), and bioelectrical impedance (</w:t>
      </w:r>
      <w:proofErr w:type="spellStart"/>
      <w:r w:rsidRPr="001D33EF">
        <w:t>InBody</w:t>
      </w:r>
      <w:proofErr w:type="spellEnd"/>
      <w:r w:rsidRPr="001D33EF">
        <w:t xml:space="preserve"> 770</w:t>
      </w:r>
      <w:r>
        <w:t xml:space="preserve"> Body Composition Analyzer). </w:t>
      </w:r>
    </w:p>
    <w:p w:rsidR="000160B9" w:rsidRDefault="003801E5" w:rsidP="00905CF1">
      <w:r>
        <w:lastRenderedPageBreak/>
        <w:t>F</w:t>
      </w:r>
      <w:r w:rsidRPr="00A9552C">
        <w:t xml:space="preserve">or </w:t>
      </w:r>
      <w:r w:rsidRPr="006C0F41">
        <w:rPr>
          <w:b/>
        </w:rPr>
        <w:t>Cardiovascular Testing</w:t>
      </w:r>
      <w:r w:rsidR="009B1C54">
        <w:t>,</w:t>
      </w:r>
      <w:r>
        <w:t xml:space="preserve"> the unit is equipped to conduct </w:t>
      </w:r>
      <w:r w:rsidR="009B1C54">
        <w:t>resting and stress test EKGs</w:t>
      </w:r>
      <w:r>
        <w:t xml:space="preserve"> </w:t>
      </w:r>
      <w:r w:rsidR="00FC55EE">
        <w:t xml:space="preserve">and spirometry </w:t>
      </w:r>
      <w:r>
        <w:t xml:space="preserve">(Welch Allyn </w:t>
      </w:r>
      <w:proofErr w:type="spellStart"/>
      <w:r>
        <w:t>C</w:t>
      </w:r>
      <w:r w:rsidRPr="006C0F41">
        <w:t>ardioPerfect</w:t>
      </w:r>
      <w:proofErr w:type="spellEnd"/>
      <w:r>
        <w:t xml:space="preserve">), and </w:t>
      </w:r>
      <w:r w:rsidR="009B1C54">
        <w:t>can do</w:t>
      </w:r>
      <w:r>
        <w:t xml:space="preserve"> </w:t>
      </w:r>
      <w:r w:rsidRPr="006C0F41">
        <w:t xml:space="preserve">ultrasound </w:t>
      </w:r>
      <w:r w:rsidR="009B1C54">
        <w:t>imaging</w:t>
      </w:r>
      <w:r w:rsidRPr="006C0F41">
        <w:t xml:space="preserve"> </w:t>
      </w:r>
      <w:r>
        <w:t>(</w:t>
      </w:r>
      <w:proofErr w:type="spellStart"/>
      <w:r>
        <w:t>Terason</w:t>
      </w:r>
      <w:proofErr w:type="spellEnd"/>
      <w:r>
        <w:t xml:space="preserve"> </w:t>
      </w:r>
      <w:proofErr w:type="spellStart"/>
      <w:r>
        <w:t>uSmart</w:t>
      </w:r>
      <w:proofErr w:type="spellEnd"/>
      <w:r>
        <w:t xml:space="preserve"> 3300) </w:t>
      </w:r>
      <w:r w:rsidR="000160B9" w:rsidRPr="00C273F3">
        <w:t>for the assessment of flow mediated dilatation and carotid artery intimal medial thickness.</w:t>
      </w:r>
    </w:p>
    <w:p w:rsidR="004A3BD0" w:rsidRDefault="004A3BD0" w:rsidP="004A3BD0">
      <w:r>
        <w:t xml:space="preserve">The unit provides </w:t>
      </w:r>
      <w:r w:rsidRPr="000D39D9">
        <w:rPr>
          <w:b/>
        </w:rPr>
        <w:t xml:space="preserve">Research Design and </w:t>
      </w:r>
      <w:proofErr w:type="spellStart"/>
      <w:r w:rsidRPr="000D39D9">
        <w:rPr>
          <w:b/>
        </w:rPr>
        <w:t>Biostatistical</w:t>
      </w:r>
      <w:proofErr w:type="spellEnd"/>
      <w:r w:rsidRPr="000D39D9">
        <w:rPr>
          <w:b/>
        </w:rPr>
        <w:t xml:space="preserve"> </w:t>
      </w:r>
      <w:r>
        <w:t>s</w:t>
      </w:r>
      <w:r w:rsidRPr="000D39D9">
        <w:t>upport</w:t>
      </w:r>
      <w:r>
        <w:t xml:space="preserve"> to investigators for assistance with study design, measurement methods and data analysis. </w:t>
      </w:r>
    </w:p>
    <w:p w:rsidR="00E23C11" w:rsidRDefault="00DB07E9" w:rsidP="00A953E3">
      <w:r w:rsidRPr="00E23C11">
        <w:rPr>
          <w:b/>
        </w:rPr>
        <w:t>Pilot Stud</w:t>
      </w:r>
      <w:r w:rsidR="002D01B3">
        <w:rPr>
          <w:b/>
        </w:rPr>
        <w:t>y Seed Grants</w:t>
      </w:r>
      <w:r>
        <w:t xml:space="preserve"> </w:t>
      </w:r>
      <w:r w:rsidR="00E23C11">
        <w:t xml:space="preserve">are provided on a competitive basis </w:t>
      </w:r>
      <w:r>
        <w:t xml:space="preserve">to support </w:t>
      </w:r>
      <w:r w:rsidR="003472AF">
        <w:t xml:space="preserve">individual investigators and </w:t>
      </w:r>
      <w:r>
        <w:t>interdisciplinary</w:t>
      </w:r>
      <w:r w:rsidR="00BE73FD">
        <w:t xml:space="preserve"> research teams to </w:t>
      </w:r>
      <w:r w:rsidR="00BE73FD" w:rsidRPr="00BE73FD">
        <w:t>generat</w:t>
      </w:r>
      <w:r w:rsidR="00BE73FD">
        <w:t>e</w:t>
      </w:r>
      <w:r w:rsidR="00BE73FD" w:rsidRPr="00BE73FD">
        <w:t xml:space="preserve"> preliminary data to enhance a specific external grant proposal or required data for meeting reviewer recommendations for a grant resubmission.</w:t>
      </w:r>
    </w:p>
    <w:p w:rsidR="000160B9" w:rsidRDefault="000160B9" w:rsidP="000160B9">
      <w:r w:rsidRPr="00C273F3">
        <w:rPr>
          <w:b/>
        </w:rPr>
        <w:t>Regulatory Science Services</w:t>
      </w:r>
      <w:r w:rsidRPr="00C273F3">
        <w:t xml:space="preserve"> assist investigators with registering and updating their trails on ClinicalTrials.gov. </w:t>
      </w:r>
    </w:p>
    <w:p w:rsidR="000160B9" w:rsidRDefault="000160B9" w:rsidP="000160B9">
      <w:r>
        <w:rPr>
          <w:b/>
        </w:rPr>
        <w:t>Community-</w:t>
      </w:r>
      <w:r w:rsidRPr="00C273F3">
        <w:rPr>
          <w:b/>
        </w:rPr>
        <w:t>Based Research and Engagement Services</w:t>
      </w:r>
      <w:r w:rsidRPr="00C273F3">
        <w:t xml:space="preserve"> assist investigators with protocol development and conduct of research through the </w:t>
      </w:r>
      <w:r>
        <w:t xml:space="preserve">state through the </w:t>
      </w:r>
      <w:r w:rsidRPr="00C273F3">
        <w:t xml:space="preserve">university’s </w:t>
      </w:r>
      <w:r>
        <w:t>o</w:t>
      </w:r>
      <w:r w:rsidRPr="00C273F3">
        <w:t xml:space="preserve">utreach </w:t>
      </w:r>
      <w:r>
        <w:t>n</w:t>
      </w:r>
      <w:r w:rsidRPr="00C273F3">
        <w:t xml:space="preserve">etwork (i.e., Cooperative Extension Service, Archway Program).  </w:t>
      </w:r>
    </w:p>
    <w:p w:rsidR="000160B9" w:rsidRDefault="000160B9" w:rsidP="000160B9">
      <w:r w:rsidRPr="00C273F3">
        <w:t xml:space="preserve">The CTRU is part of the </w:t>
      </w:r>
      <w:r w:rsidR="00F4122E">
        <w:rPr>
          <w:b/>
        </w:rPr>
        <w:t>Atlanta</w:t>
      </w:r>
      <w:r w:rsidRPr="00183821">
        <w:rPr>
          <w:b/>
        </w:rPr>
        <w:t xml:space="preserve"> Clinical and Translational </w:t>
      </w:r>
      <w:r>
        <w:rPr>
          <w:b/>
        </w:rPr>
        <w:t xml:space="preserve">Science </w:t>
      </w:r>
      <w:r w:rsidR="00F4122E">
        <w:rPr>
          <w:b/>
        </w:rPr>
        <w:t>Institute</w:t>
      </w:r>
      <w:r w:rsidRPr="00C273F3">
        <w:t xml:space="preserve"> (</w:t>
      </w:r>
      <w:r w:rsidR="00F4122E">
        <w:t>ACTSI</w:t>
      </w:r>
      <w:r w:rsidRPr="00C273F3">
        <w:t>)</w:t>
      </w:r>
      <w:r>
        <w:t xml:space="preserve"> which provides additional resources to support clinical and translational research and education </w:t>
      </w:r>
      <w:r w:rsidRPr="00C273F3">
        <w:t xml:space="preserve">(see link </w:t>
      </w:r>
      <w:hyperlink r:id="rId4" w:history="1">
        <w:r w:rsidRPr="00801381">
          <w:rPr>
            <w:rStyle w:val="Hyperlink"/>
          </w:rPr>
          <w:t>http://www.actsi.org/</w:t>
        </w:r>
      </w:hyperlink>
      <w:r w:rsidRPr="00C273F3">
        <w:t>)</w:t>
      </w:r>
      <w:r w:rsidR="004A3BD0">
        <w:t xml:space="preserve">. </w:t>
      </w:r>
      <w:r>
        <w:t xml:space="preserve">CTRU and </w:t>
      </w:r>
      <w:r w:rsidR="00F4122E">
        <w:t>ACTSI</w:t>
      </w:r>
      <w:r>
        <w:t xml:space="preserve"> research services will soon be av</w:t>
      </w:r>
      <w:r w:rsidR="00D97405">
        <w:t>ailable through RAPID (Request a</w:t>
      </w:r>
      <w:r>
        <w:t>nd Progress Information Database).</w:t>
      </w:r>
      <w:bookmarkStart w:id="0" w:name="_GoBack"/>
      <w:bookmarkEnd w:id="0"/>
    </w:p>
    <w:p w:rsidR="003801E5" w:rsidRDefault="003801E5"/>
    <w:sectPr w:rsidR="00380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99"/>
    <w:rsid w:val="00015620"/>
    <w:rsid w:val="000160B9"/>
    <w:rsid w:val="000302C9"/>
    <w:rsid w:val="00030687"/>
    <w:rsid w:val="00047049"/>
    <w:rsid w:val="00073050"/>
    <w:rsid w:val="000D39D9"/>
    <w:rsid w:val="000F1BC2"/>
    <w:rsid w:val="00160A52"/>
    <w:rsid w:val="00173B14"/>
    <w:rsid w:val="001760ED"/>
    <w:rsid w:val="001761F5"/>
    <w:rsid w:val="00191CF1"/>
    <w:rsid w:val="001F0E96"/>
    <w:rsid w:val="00200675"/>
    <w:rsid w:val="00207F2C"/>
    <w:rsid w:val="00244966"/>
    <w:rsid w:val="00260A8E"/>
    <w:rsid w:val="002B49FA"/>
    <w:rsid w:val="002C1A32"/>
    <w:rsid w:val="002C497D"/>
    <w:rsid w:val="002D01B3"/>
    <w:rsid w:val="002D0D0E"/>
    <w:rsid w:val="002D2797"/>
    <w:rsid w:val="002F1608"/>
    <w:rsid w:val="002F4838"/>
    <w:rsid w:val="003118C1"/>
    <w:rsid w:val="00317C17"/>
    <w:rsid w:val="003472AF"/>
    <w:rsid w:val="003526E9"/>
    <w:rsid w:val="003801E5"/>
    <w:rsid w:val="003A6AA5"/>
    <w:rsid w:val="003F63F7"/>
    <w:rsid w:val="004237DC"/>
    <w:rsid w:val="004432FC"/>
    <w:rsid w:val="00453E6B"/>
    <w:rsid w:val="00486A59"/>
    <w:rsid w:val="004A3BD0"/>
    <w:rsid w:val="004A6A76"/>
    <w:rsid w:val="004D29F0"/>
    <w:rsid w:val="004E0E6B"/>
    <w:rsid w:val="004F6CE9"/>
    <w:rsid w:val="0054754E"/>
    <w:rsid w:val="005D223B"/>
    <w:rsid w:val="005F0C1F"/>
    <w:rsid w:val="005F19AC"/>
    <w:rsid w:val="00643029"/>
    <w:rsid w:val="00647B55"/>
    <w:rsid w:val="00680CD9"/>
    <w:rsid w:val="006B409E"/>
    <w:rsid w:val="006C0F41"/>
    <w:rsid w:val="006C4AFA"/>
    <w:rsid w:val="006F3634"/>
    <w:rsid w:val="00730A99"/>
    <w:rsid w:val="00781C39"/>
    <w:rsid w:val="00783E37"/>
    <w:rsid w:val="00786A42"/>
    <w:rsid w:val="007A3179"/>
    <w:rsid w:val="007B227C"/>
    <w:rsid w:val="007C5ECB"/>
    <w:rsid w:val="007F12E1"/>
    <w:rsid w:val="007F6424"/>
    <w:rsid w:val="00806385"/>
    <w:rsid w:val="00857ACB"/>
    <w:rsid w:val="0086564E"/>
    <w:rsid w:val="00883E01"/>
    <w:rsid w:val="00893910"/>
    <w:rsid w:val="008F7E71"/>
    <w:rsid w:val="00903C66"/>
    <w:rsid w:val="00905CF1"/>
    <w:rsid w:val="00913652"/>
    <w:rsid w:val="009224A8"/>
    <w:rsid w:val="00935FF1"/>
    <w:rsid w:val="009433CB"/>
    <w:rsid w:val="00952E3F"/>
    <w:rsid w:val="00962E5C"/>
    <w:rsid w:val="00971E5D"/>
    <w:rsid w:val="009A5C18"/>
    <w:rsid w:val="009B1C54"/>
    <w:rsid w:val="009B43A3"/>
    <w:rsid w:val="009B4883"/>
    <w:rsid w:val="009C1B87"/>
    <w:rsid w:val="009F52B6"/>
    <w:rsid w:val="009F5821"/>
    <w:rsid w:val="00A126B0"/>
    <w:rsid w:val="00A42865"/>
    <w:rsid w:val="00A5511E"/>
    <w:rsid w:val="00A82B1E"/>
    <w:rsid w:val="00A840E8"/>
    <w:rsid w:val="00A953E3"/>
    <w:rsid w:val="00A9552C"/>
    <w:rsid w:val="00AA5008"/>
    <w:rsid w:val="00AA7558"/>
    <w:rsid w:val="00B1486A"/>
    <w:rsid w:val="00B3543D"/>
    <w:rsid w:val="00B549F2"/>
    <w:rsid w:val="00B866BA"/>
    <w:rsid w:val="00B95098"/>
    <w:rsid w:val="00BB348A"/>
    <w:rsid w:val="00BD1968"/>
    <w:rsid w:val="00BE73FD"/>
    <w:rsid w:val="00C40863"/>
    <w:rsid w:val="00C41163"/>
    <w:rsid w:val="00C839C6"/>
    <w:rsid w:val="00C842EA"/>
    <w:rsid w:val="00CD3132"/>
    <w:rsid w:val="00D112D0"/>
    <w:rsid w:val="00D21F24"/>
    <w:rsid w:val="00D54CD8"/>
    <w:rsid w:val="00D76D26"/>
    <w:rsid w:val="00D97405"/>
    <w:rsid w:val="00DA1719"/>
    <w:rsid w:val="00DB07E9"/>
    <w:rsid w:val="00DC0642"/>
    <w:rsid w:val="00E23C11"/>
    <w:rsid w:val="00E33B1D"/>
    <w:rsid w:val="00E341FD"/>
    <w:rsid w:val="00E734A1"/>
    <w:rsid w:val="00EA31E4"/>
    <w:rsid w:val="00EF1948"/>
    <w:rsid w:val="00F25955"/>
    <w:rsid w:val="00F4122E"/>
    <w:rsid w:val="00F4506E"/>
    <w:rsid w:val="00F66DE8"/>
    <w:rsid w:val="00F7757F"/>
    <w:rsid w:val="00F93147"/>
    <w:rsid w:val="00FB555C"/>
    <w:rsid w:val="00FC268F"/>
    <w:rsid w:val="00FC55EE"/>
    <w:rsid w:val="00FE2C7F"/>
    <w:rsid w:val="00FE7E89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13C7A"/>
  <w15:docId w15:val="{ED375A21-D74E-4D2C-AFD6-77EF674D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0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ts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Schmitz</dc:creator>
  <cp:lastModifiedBy>Kimberly Schmitz</cp:lastModifiedBy>
  <cp:revision>20</cp:revision>
  <cp:lastPrinted>2016-01-05T15:52:00Z</cp:lastPrinted>
  <dcterms:created xsi:type="dcterms:W3CDTF">2016-03-03T20:49:00Z</dcterms:created>
  <dcterms:modified xsi:type="dcterms:W3CDTF">2016-07-11T14:04:00Z</dcterms:modified>
</cp:coreProperties>
</file>